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Template for EIT 2024</w:t>
      </w:r>
    </w:p>
    <w:p>
      <w:pPr>
        <w:pStyle w:val="15"/>
      </w:pPr>
      <w:r>
        <w:t>Huiqing Ge</w:t>
      </w:r>
      <w:r>
        <w:rPr>
          <w:vertAlign w:val="superscript"/>
        </w:rPr>
        <w:t>1</w:t>
      </w:r>
      <w:r>
        <w:t>, Qing Pan</w:t>
      </w:r>
      <w:r>
        <w:rPr>
          <w:vertAlign w:val="superscript"/>
        </w:rPr>
        <w:t>2</w:t>
      </w:r>
      <w:r>
        <w:t xml:space="preserve"> and Zhanqi Zhao</w:t>
      </w:r>
      <w:r>
        <w:rPr>
          <w:vertAlign w:val="superscript"/>
        </w:rPr>
        <w:t>3</w:t>
      </w:r>
    </w:p>
    <w:p>
      <w:pPr>
        <w:pStyle w:val="17"/>
      </w:pPr>
      <w:r>
        <w:rPr>
          <w:vertAlign w:val="superscript"/>
        </w:rPr>
        <w:t>1</w:t>
      </w:r>
      <w:r>
        <w:t xml:space="preserve">Sir Run Run Shaw Hospital, Hangzhou, China, </w:t>
      </w:r>
      <w:r>
        <w:fldChar w:fldCharType="begin"/>
      </w:r>
      <w:r>
        <w:instrText xml:space="preserve"> HYPERLINK "mailto:eit2024@academicconf.com" </w:instrText>
      </w:r>
      <w:r>
        <w:fldChar w:fldCharType="separate"/>
      </w:r>
      <w:r>
        <w:rPr>
          <w:rStyle w:val="12"/>
        </w:rPr>
        <w:t>eit2024@academicconf.com</w:t>
      </w:r>
      <w:r>
        <w:rPr>
          <w:rStyle w:val="12"/>
        </w:rPr>
        <w:fldChar w:fldCharType="end"/>
      </w:r>
    </w:p>
    <w:p>
      <w:pPr>
        <w:pStyle w:val="17"/>
      </w:pPr>
      <w:r>
        <w:rPr>
          <w:vertAlign w:val="superscript"/>
        </w:rPr>
        <w:t>2</w:t>
      </w:r>
      <w:r>
        <w:t>Zhejiang University of Technology, Hangzhou, China</w:t>
      </w:r>
    </w:p>
    <w:p>
      <w:pPr>
        <w:pStyle w:val="17"/>
      </w:pPr>
      <w:r>
        <w:rPr>
          <w:vertAlign w:val="superscript"/>
        </w:rPr>
        <w:t>3</w:t>
      </w:r>
      <w:r>
        <w:t xml:space="preserve">Guangzhou Medical University, Guangzhou, China </w:t>
      </w:r>
    </w:p>
    <w:p>
      <w:pPr>
        <w:pStyle w:val="17"/>
        <w:rPr>
          <w:rStyle w:val="19"/>
        </w:rPr>
      </w:pPr>
    </w:p>
    <w:p>
      <w:pPr>
        <w:pStyle w:val="17"/>
        <w:jc w:val="left"/>
        <w:sectPr>
          <w:headerReference r:id="rId5" w:type="default"/>
          <w:pgSz w:w="11906" w:h="16838"/>
          <w:pgMar w:top="1134" w:right="1134" w:bottom="1134" w:left="1134" w:header="709" w:footer="709" w:gutter="0"/>
          <w:cols w:space="708" w:num="1"/>
          <w:docGrid w:linePitch="360" w:charSpace="0"/>
        </w:sectPr>
      </w:pPr>
    </w:p>
    <w:p>
      <w:pPr>
        <w:pStyle w:val="22"/>
      </w:pPr>
      <w:r>
        <w:rPr>
          <w:b/>
        </w:rPr>
        <w:t>Abstract:</w:t>
      </w:r>
      <w:r>
        <w:t xml:space="preserve"> The abstract should be strictly limited to one A4 page, including the introduction, methods, results, and conclusion, excluding the cover letter. The abstract should be strictly limited to one A4 page, including the introduction, methods, results, and conclusion, excluding the cover letter. The abstract should be strictly limited to one A4 page, including the introduction, methods, results, and conclusion, excluding the cover letter. Please avoid repetitions.  </w:t>
      </w:r>
    </w:p>
    <w:p>
      <w:pPr>
        <w:pStyle w:val="24"/>
      </w:pPr>
      <w:r>
        <w:t>Introduction</w:t>
      </w:r>
    </w:p>
    <w:p>
      <w:pPr>
        <w:pStyle w:val="22"/>
      </w:pPr>
      <w:r>
        <w:t>This is a Word template file to be used for manuscript submissions for the 24</w:t>
      </w:r>
      <w:r>
        <w:rPr>
          <w:rFonts w:hint="eastAsia"/>
          <w:vertAlign w:val="superscript"/>
          <w:lang w:eastAsia="zh-CN"/>
        </w:rPr>
        <w:t>th</w:t>
      </w:r>
      <w:r>
        <w:t xml:space="preserve"> International Conference on the Biomedical Applications of Electrical Impedance Tomography to be held in H</w:t>
      </w:r>
      <w:r>
        <w:rPr>
          <w:rFonts w:hint="eastAsia"/>
          <w:lang w:eastAsia="zh-CN"/>
        </w:rPr>
        <w:t>angzhou</w:t>
      </w:r>
      <w:r>
        <w:t>, C</w:t>
      </w:r>
      <w:r>
        <w:rPr>
          <w:rFonts w:hint="eastAsia"/>
          <w:lang w:eastAsia="zh-CN"/>
        </w:rPr>
        <w:t>hina</w:t>
      </w:r>
      <w:r>
        <w:t xml:space="preserve"> on June 28-30, 2024. Please note the general requirements:</w:t>
      </w:r>
    </w:p>
    <w:p>
      <w:pPr>
        <w:pStyle w:val="26"/>
      </w:pPr>
      <w:r>
        <w:t>Single page of A4 paper</w:t>
      </w:r>
    </w:p>
    <w:p>
      <w:pPr>
        <w:pStyle w:val="26"/>
      </w:pPr>
      <w:r>
        <w:t>All margins at 2 cm</w:t>
      </w:r>
    </w:p>
    <w:p>
      <w:pPr>
        <w:pStyle w:val="26"/>
      </w:pPr>
      <w:r>
        <w:t>UK English</w:t>
      </w:r>
    </w:p>
    <w:p>
      <w:pPr>
        <w:pStyle w:val="26"/>
      </w:pPr>
      <w:r>
        <w:t>Main body should be in 10pt Times font</w:t>
      </w:r>
    </w:p>
    <w:p>
      <w:pPr>
        <w:pStyle w:val="26"/>
      </w:pPr>
      <w:r>
        <w:t>Email address of at least one author must be specified as part of the affiliation block</w:t>
      </w:r>
    </w:p>
    <w:p>
      <w:pPr>
        <w:pStyle w:val="21"/>
        <w:ind w:firstLine="0"/>
        <w:rPr>
          <w:b/>
        </w:rPr>
      </w:pPr>
      <w:r>
        <w:rPr>
          <w:b/>
        </w:rPr>
        <w:t>The program committee requires a full 1 page submission (rather than just a short abstract).</w:t>
      </w:r>
    </w:p>
    <w:p>
      <w:pPr>
        <w:pStyle w:val="24"/>
      </w:pPr>
      <w:r>
        <w:t>Methods</w:t>
      </w:r>
    </w:p>
    <w:p>
      <w:pPr>
        <w:pStyle w:val="22"/>
      </w:pPr>
      <w:r>
        <w:t>The paper can be prepared in LaTeX or MS Word and submitted as a *.pdf or *.docx file. The templates can be downloaded from the conference website:</w:t>
      </w:r>
    </w:p>
    <w:p>
      <w:pPr>
        <w:pStyle w:val="35"/>
        <w:rPr>
          <w:rFonts w:eastAsia="宋体"/>
        </w:rPr>
      </w:pPr>
      <w:r>
        <w:fldChar w:fldCharType="begin"/>
      </w:r>
      <w:r>
        <w:instrText xml:space="preserve"> HYPERLINK "http://www.eitconf.org" </w:instrText>
      </w:r>
      <w:r>
        <w:fldChar w:fldCharType="separate"/>
      </w:r>
      <w:r>
        <w:rPr>
          <w:rStyle w:val="12"/>
          <w:rFonts w:eastAsia="宋体"/>
        </w:rPr>
        <w:t>http://www.eitconf.org</w:t>
      </w:r>
      <w:r>
        <w:rPr>
          <w:rStyle w:val="12"/>
          <w:rFonts w:eastAsia="宋体"/>
        </w:rPr>
        <w:fldChar w:fldCharType="end"/>
      </w:r>
    </w:p>
    <w:p>
      <w:pPr>
        <w:pStyle w:val="35"/>
      </w:pPr>
      <w:r>
        <w:t>Please note that this template makes extensive use of styles that define how text appears. They are named with the pattern EIT2024: xxxxxx. Please only use those styles in your document (as is the case in this template) and do not modify them.</w:t>
      </w:r>
    </w:p>
    <w:p>
      <w:pPr>
        <w:pStyle w:val="28"/>
      </w:pPr>
      <w:r>
        <w:t>Figures and tables</w:t>
      </w:r>
    </w:p>
    <w:p>
      <w:pPr>
        <w:pStyle w:val="22"/>
      </w:pPr>
      <w:r>
        <w:t>Figures and tables (floats) can span one or two columns. Note that</w:t>
      </w:r>
    </w:p>
    <w:p>
      <w:pPr>
        <w:pStyle w:val="21"/>
        <w:numPr>
          <w:ilvl w:val="0"/>
          <w:numId w:val="3"/>
        </w:numPr>
        <w:ind w:left="567" w:hanging="283"/>
      </w:pPr>
      <w:r>
        <w:t>Two-column floats must be at the bottom of the page.</w:t>
      </w:r>
    </w:p>
    <w:p>
      <w:pPr>
        <w:pStyle w:val="30"/>
      </w:pPr>
      <w:r>
        <w:t>Captions appear below figures but above tables, as in Fig. 1 and Tab. 1.</w:t>
      </w:r>
    </w:p>
    <w:p>
      <w:pPr>
        <w:pStyle w:val="21"/>
        <w:ind w:firstLine="0"/>
        <w:jc w:val="center"/>
        <w:rPr>
          <w:rFonts w:hint="eastAsia" w:eastAsia="宋体"/>
          <w:lang w:eastAsia="zh-CN"/>
        </w:rPr>
      </w:pPr>
      <w:r>
        <w:rPr>
          <w:rFonts w:hint="eastAsia" w:eastAsia="宋体"/>
          <w:lang w:eastAsia="zh-CN"/>
        </w:rPr>
        <w:drawing>
          <wp:inline distT="0" distB="0" distL="114300" distR="114300">
            <wp:extent cx="1954530" cy="1466215"/>
            <wp:effectExtent l="0" t="0" r="0" b="0"/>
            <wp:docPr id="1" name="图片 1" descr="eit202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it2024 (1)"/>
                    <pic:cNvPicPr>
                      <a:picLocks noChangeAspect="1"/>
                    </pic:cNvPicPr>
                  </pic:nvPicPr>
                  <pic:blipFill>
                    <a:blip r:embed="rId7"/>
                    <a:stretch>
                      <a:fillRect/>
                    </a:stretch>
                  </pic:blipFill>
                  <pic:spPr>
                    <a:xfrm>
                      <a:off x="0" y="0"/>
                      <a:ext cx="1954530" cy="1466215"/>
                    </a:xfrm>
                    <a:prstGeom prst="rect">
                      <a:avLst/>
                    </a:prstGeom>
                  </pic:spPr>
                </pic:pic>
              </a:graphicData>
            </a:graphic>
          </wp:inline>
        </w:drawing>
      </w:r>
      <w:bookmarkStart w:id="0" w:name="_GoBack"/>
      <w:bookmarkEnd w:id="0"/>
    </w:p>
    <w:p>
      <w:pPr>
        <w:pStyle w:val="2"/>
      </w:pPr>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t xml:space="preserve">Column-width figure.  </w:t>
      </w:r>
    </w:p>
    <w:p>
      <w:pPr>
        <w:pStyle w:val="28"/>
      </w:pPr>
      <w:r>
        <w:t>Equations</w:t>
      </w:r>
    </w:p>
    <w:p>
      <w:pPr>
        <w:pStyle w:val="22"/>
      </w:pPr>
      <w:r>
        <w:t>Equations should be placed on separate lines and numbered</w:t>
      </w:r>
    </w:p>
    <w:p>
      <w:pPr>
        <w:pStyle w:val="35"/>
      </w:pPr>
      <w:r>
        <w:tab/>
      </w:r>
      <m:oMath>
        <m:r>
          <m:rPr/>
          <w:rPr>
            <w:rFonts w:ascii="Cambria Math" w:hAnsi="Cambria Math"/>
          </w:rPr>
          <m:t>x</m:t>
        </m:r>
        <m:d>
          <m:dPr>
            <m:ctrlPr>
              <w:rPr>
                <w:rFonts w:ascii="Cambria Math" w:hAnsi="Cambria Math"/>
              </w:rPr>
            </m:ctrlPr>
          </m:dPr>
          <m:e>
            <m:r>
              <m:rPr/>
              <w:rPr>
                <w:rFonts w:ascii="Cambria Math" w:hAnsi="Cambria Math"/>
              </w:rPr>
              <m:t>t</m:t>
            </m:r>
            <m:ctrlPr>
              <w:rPr>
                <w:rFonts w:ascii="Cambria Math" w:hAnsi="Cambria Math"/>
              </w:rPr>
            </m:ctrlPr>
          </m:e>
        </m:d>
        <m:r>
          <m:rPr>
            <m:sty m:val="p"/>
          </m:rPr>
          <w:rPr>
            <w:rFonts w:ascii="Cambria Math" w:hAnsi="Cambria Math"/>
          </w:rPr>
          <m:t>=</m:t>
        </m:r>
        <m:r>
          <m:rPr/>
          <w:rPr>
            <w:rFonts w:ascii="Cambria Math" w:hAnsi="Cambria Math"/>
          </w:rPr>
          <m:t>s</m:t>
        </m:r>
        <m:d>
          <m:dPr>
            <m:ctrlPr>
              <w:rPr>
                <w:rFonts w:ascii="Cambria Math" w:hAnsi="Cambria Math"/>
              </w:rPr>
            </m:ctrlPr>
          </m:dPr>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ω</m:t>
                </m:r>
                <m:ctrlPr>
                  <w:rPr>
                    <w:rFonts w:ascii="Cambria Math" w:hAnsi="Cambria Math"/>
                  </w:rPr>
                </m:ctrlPr>
              </m:sub>
            </m:sSub>
            <m:d>
              <m:dPr>
                <m:ctrlPr>
                  <w:rPr>
                    <w:rFonts w:ascii="Cambria Math" w:hAnsi="Cambria Math"/>
                  </w:rPr>
                </m:ctrlPr>
              </m:dPr>
              <m:e>
                <m:r>
                  <m:rPr/>
                  <w:rPr>
                    <w:rFonts w:ascii="Cambria Math" w:hAnsi="Cambria Math"/>
                  </w:rPr>
                  <m:t>t</m:t>
                </m:r>
                <m:ctrlPr>
                  <w:rPr>
                    <w:rFonts w:ascii="Cambria Math" w:hAnsi="Cambria Math"/>
                  </w:rPr>
                </m:ctrlPr>
              </m:e>
            </m:d>
            <m:ctrlPr>
              <w:rPr>
                <w:rFonts w:ascii="Cambria Math" w:hAnsi="Cambria Math"/>
              </w:rPr>
            </m:ctrlPr>
          </m:e>
        </m:d>
      </m:oMath>
      <w:r>
        <w:tab/>
      </w:r>
      <w:r>
        <w:t>(1)</w:t>
      </w:r>
    </w:p>
    <w:p>
      <w:pPr>
        <w:pStyle w:val="22"/>
      </w:pPr>
      <w:r>
        <w:t>This is somewhat difficult to achieve in Word. First, the equation must be in “display mode”. Then, apply the style EIT2024: Equation. Place a TAB character before and after the equation. You will then be able to type the equation number manually.</w:t>
      </w:r>
    </w:p>
    <w:p>
      <w:pPr>
        <w:pStyle w:val="36"/>
      </w:pPr>
      <w:r>
        <w:t>References</w:t>
      </w:r>
    </w:p>
    <w:p>
      <w:pPr>
        <w:pStyle w:val="22"/>
      </w:pPr>
      <w:r>
        <w:t>List and number all references at the end of the paper. The</w:t>
      </w:r>
    </w:p>
    <w:p>
      <w:pPr>
        <w:pStyle w:val="22"/>
      </w:pPr>
      <w:r>
        <w:t>references should be numbered in order of appearance in the document. The reference formats for a journal article [1], a book [2] and conference proceedings [3] are illustrated in the References section.</w:t>
      </w:r>
    </w:p>
    <w:p>
      <w:pPr>
        <w:pStyle w:val="21"/>
      </w:pPr>
      <w:r>
        <w:t>The format is compact and does not include titles for articles. References in text should be sorted and grouped compactly, as in [1–3]. The easiest way to achieve that in Word is to do it manually.</w:t>
      </w:r>
    </w:p>
    <w:p>
      <w:pPr>
        <w:pStyle w:val="24"/>
      </w:pPr>
      <w:r>
        <w:t>Conclusions</w:t>
      </w:r>
    </w:p>
    <w:p>
      <w:pPr>
        <w:pStyle w:val="22"/>
      </w:pPr>
      <w:r>
        <w:t>This paper makes many important points.</w:t>
      </w:r>
    </w:p>
    <w:p>
      <w:pPr>
        <w:pStyle w:val="24"/>
      </w:pPr>
      <w:r>
        <w:t>Acknowledgements</w:t>
      </w:r>
    </w:p>
    <w:p>
      <w:pPr>
        <w:pStyle w:val="22"/>
        <w:rPr>
          <w:lang w:val="en-GB"/>
        </w:rPr>
      </w:pPr>
      <w:r>
        <w:t>The authors would like to express their gratitude to …</w:t>
      </w:r>
    </w:p>
    <w:p>
      <w:pPr>
        <w:pStyle w:val="38"/>
      </w:pPr>
      <w:r>
        <w:t>References</w:t>
      </w:r>
    </w:p>
    <w:p>
      <w:pPr>
        <w:pStyle w:val="40"/>
        <w:rPr>
          <w:lang w:val="en-US"/>
        </w:rPr>
      </w:pPr>
      <w:r>
        <w:rPr>
          <w:lang w:val="en-US"/>
        </w:rPr>
        <w:t xml:space="preserve">A Adler, B Grychtol, R Bayford </w:t>
      </w:r>
      <w:r>
        <w:rPr>
          <w:i/>
          <w:iCs/>
          <w:lang w:val="en-US"/>
        </w:rPr>
        <w:t>PhysiolMeas</w:t>
      </w:r>
      <w:r>
        <w:rPr>
          <w:lang w:val="en-US"/>
        </w:rPr>
        <w:t>, 36:1067–1074,2015</w:t>
      </w:r>
    </w:p>
    <w:p>
      <w:pPr>
        <w:pStyle w:val="40"/>
        <w:rPr>
          <w:lang w:val="en-US"/>
        </w:rPr>
      </w:pPr>
      <w:r>
        <w:rPr>
          <w:lang w:val="en-US"/>
        </w:rPr>
        <w:t xml:space="preserve">DS Holder </w:t>
      </w:r>
      <w:r>
        <w:rPr>
          <w:i/>
          <w:iCs/>
          <w:lang w:val="en-US"/>
        </w:rPr>
        <w:t xml:space="preserve">Electrical Impedance Tomography </w:t>
      </w:r>
      <w:r>
        <w:rPr>
          <w:lang w:val="en-US"/>
        </w:rPr>
        <w:t>IOP Publishing: Bristol, 2005</w:t>
      </w:r>
    </w:p>
    <w:p>
      <w:pPr>
        <w:pStyle w:val="40"/>
        <w:sectPr>
          <w:type w:val="continuous"/>
          <w:pgSz w:w="11906" w:h="16838"/>
          <w:pgMar w:top="1134" w:right="1134" w:bottom="1134" w:left="1134" w:header="709" w:footer="709" w:gutter="0"/>
          <w:cols w:space="198" w:num="2"/>
          <w:docGrid w:linePitch="360" w:charSpace="0"/>
        </w:sectPr>
      </w:pPr>
      <w:r>
        <w:t xml:space="preserve">Murphy E, Mahara A, Halter RJ </w:t>
      </w:r>
      <w:r>
        <w:rPr>
          <w:i/>
        </w:rPr>
        <w:t>Conf 16</w:t>
      </w:r>
      <w:r>
        <w:rPr>
          <w:i/>
          <w:vertAlign w:val="superscript"/>
        </w:rPr>
        <w:t>th</w:t>
      </w:r>
      <w:r>
        <w:rPr>
          <w:i/>
        </w:rPr>
        <w:t xml:space="preserve"> ICEBI &amp; 17</w:t>
      </w:r>
      <w:r>
        <w:rPr>
          <w:i/>
          <w:vertAlign w:val="superscript"/>
        </w:rPr>
        <w:t>th</w:t>
      </w:r>
      <w:r>
        <w:rPr>
          <w:i/>
        </w:rPr>
        <w:t xml:space="preserve"> EIT</w:t>
      </w:r>
      <w:r>
        <w:t>, p.104, Stockholm, Sweden, Jun 2016</w:t>
      </w:r>
    </w:p>
    <w:p>
      <w:pPr>
        <w:pStyle w:val="43"/>
      </w:pPr>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w:t>
      </w:r>
      <w:r>
        <w:t xml:space="preserve"> This table is placed after the Section Break (Conitunes) at the end of text. This section break ensures the text columns are balanced. This table caption was inserted the usual way, but then had its Style changed to EIT2017: Table Caption to ensure increased spacing above it and decreased spacing below it (after which one has to make the label bold again).</w:t>
      </w: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40"/>
              <w:numPr>
                <w:ilvl w:val="0"/>
                <w:numId w:val="0"/>
              </w:numPr>
            </w:pPr>
          </w:p>
        </w:tc>
        <w:tc>
          <w:tcPr>
            <w:tcW w:w="1971" w:type="dxa"/>
          </w:tcPr>
          <w:p>
            <w:pPr>
              <w:pStyle w:val="40"/>
              <w:numPr>
                <w:ilvl w:val="0"/>
                <w:numId w:val="0"/>
              </w:numPr>
            </w:pPr>
          </w:p>
        </w:tc>
        <w:tc>
          <w:tcPr>
            <w:tcW w:w="1971" w:type="dxa"/>
          </w:tcPr>
          <w:p>
            <w:pPr>
              <w:pStyle w:val="40"/>
              <w:numPr>
                <w:ilvl w:val="0"/>
                <w:numId w:val="0"/>
              </w:numPr>
            </w:pPr>
          </w:p>
        </w:tc>
        <w:tc>
          <w:tcPr>
            <w:tcW w:w="1971" w:type="dxa"/>
          </w:tcPr>
          <w:p>
            <w:pPr>
              <w:pStyle w:val="40"/>
              <w:numPr>
                <w:ilvl w:val="0"/>
                <w:numId w:val="0"/>
              </w:numPr>
            </w:pPr>
          </w:p>
        </w:tc>
        <w:tc>
          <w:tcPr>
            <w:tcW w:w="1756" w:type="dxa"/>
          </w:tcPr>
          <w:p>
            <w:pPr>
              <w:pStyle w:val="40"/>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40"/>
              <w:numPr>
                <w:ilvl w:val="0"/>
                <w:numId w:val="0"/>
              </w:numPr>
            </w:pPr>
          </w:p>
        </w:tc>
        <w:tc>
          <w:tcPr>
            <w:tcW w:w="1971" w:type="dxa"/>
          </w:tcPr>
          <w:p>
            <w:pPr>
              <w:pStyle w:val="40"/>
              <w:numPr>
                <w:ilvl w:val="0"/>
                <w:numId w:val="0"/>
              </w:numPr>
            </w:pPr>
          </w:p>
        </w:tc>
        <w:tc>
          <w:tcPr>
            <w:tcW w:w="1971" w:type="dxa"/>
          </w:tcPr>
          <w:p>
            <w:pPr>
              <w:pStyle w:val="40"/>
              <w:numPr>
                <w:ilvl w:val="0"/>
                <w:numId w:val="0"/>
              </w:numPr>
            </w:pPr>
          </w:p>
        </w:tc>
        <w:tc>
          <w:tcPr>
            <w:tcW w:w="1971" w:type="dxa"/>
          </w:tcPr>
          <w:p>
            <w:pPr>
              <w:pStyle w:val="40"/>
              <w:numPr>
                <w:ilvl w:val="0"/>
                <w:numId w:val="0"/>
              </w:numPr>
            </w:pPr>
          </w:p>
        </w:tc>
        <w:tc>
          <w:tcPr>
            <w:tcW w:w="1756" w:type="dxa"/>
          </w:tcPr>
          <w:p>
            <w:pPr>
              <w:pStyle w:val="40"/>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40"/>
              <w:numPr>
                <w:ilvl w:val="0"/>
                <w:numId w:val="0"/>
              </w:numPr>
            </w:pPr>
          </w:p>
        </w:tc>
        <w:tc>
          <w:tcPr>
            <w:tcW w:w="1971" w:type="dxa"/>
          </w:tcPr>
          <w:p>
            <w:pPr>
              <w:pStyle w:val="40"/>
              <w:numPr>
                <w:ilvl w:val="0"/>
                <w:numId w:val="0"/>
              </w:numPr>
            </w:pPr>
          </w:p>
        </w:tc>
        <w:tc>
          <w:tcPr>
            <w:tcW w:w="1971" w:type="dxa"/>
          </w:tcPr>
          <w:p>
            <w:pPr>
              <w:pStyle w:val="40"/>
              <w:numPr>
                <w:ilvl w:val="0"/>
                <w:numId w:val="0"/>
              </w:numPr>
            </w:pPr>
          </w:p>
        </w:tc>
        <w:tc>
          <w:tcPr>
            <w:tcW w:w="1971" w:type="dxa"/>
          </w:tcPr>
          <w:p>
            <w:pPr>
              <w:pStyle w:val="40"/>
              <w:numPr>
                <w:ilvl w:val="0"/>
                <w:numId w:val="0"/>
              </w:numPr>
            </w:pPr>
          </w:p>
        </w:tc>
        <w:tc>
          <w:tcPr>
            <w:tcW w:w="1756" w:type="dxa"/>
          </w:tcPr>
          <w:p>
            <w:pPr>
              <w:pStyle w:val="40"/>
              <w:numPr>
                <w:ilvl w:val="0"/>
                <w:numId w:val="0"/>
              </w:numPr>
            </w:pPr>
          </w:p>
        </w:tc>
      </w:tr>
    </w:tbl>
    <w:p>
      <w:pPr>
        <w:pStyle w:val="40"/>
        <w:numPr>
          <w:ilvl w:val="0"/>
          <w:numId w:val="0"/>
        </w:numPr>
      </w:pPr>
    </w:p>
    <w:sectPr>
      <w:type w:val="continuous"/>
      <w:pgSz w:w="11906" w:h="16838"/>
      <w:pgMar w:top="1134" w:right="1134" w:bottom="1134" w:left="1134" w:header="709" w:footer="709" w:gutter="0"/>
      <w:cols w:space="19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8"/>
      </w:rPr>
    </w:pPr>
    <w:r>
      <w:rPr>
        <w:rFonts w:ascii="Times New Roman" w:hAnsi="Times New Roman" w:cs="Times New Roman"/>
        <w:sz w:val="18"/>
        <w:szCs w:val="15"/>
      </w:rPr>
      <w:t>24</w:t>
    </w:r>
    <w:r>
      <w:rPr>
        <w:rFonts w:hint="eastAsia" w:ascii="Times New Roman" w:hAnsi="Times New Roman" w:cs="Times New Roman"/>
        <w:sz w:val="18"/>
        <w:szCs w:val="15"/>
        <w:vertAlign w:val="superscript"/>
        <w:lang w:eastAsia="zh-CN"/>
      </w:rPr>
      <w:t>th</w:t>
    </w:r>
    <w:r>
      <w:rPr>
        <w:rFonts w:ascii="Times New Roman" w:hAnsi="Times New Roman" w:cs="Times New Roman"/>
        <w:sz w:val="18"/>
        <w:szCs w:val="15"/>
      </w:rPr>
      <w:t xml:space="preserve"> International Conference on Biomedical Applications of Electrical Impedance Tomography (EIT 2024), Hangzhou, C</w:t>
    </w:r>
    <w:r>
      <w:rPr>
        <w:rFonts w:hint="eastAsia" w:ascii="Times New Roman" w:hAnsi="Times New Roman" w:cs="Times New Roman"/>
        <w:sz w:val="18"/>
        <w:szCs w:val="15"/>
        <w:lang w:eastAsia="zh-CN"/>
      </w:rPr>
      <w:t>hina</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10A33"/>
    <w:multiLevelType w:val="multilevel"/>
    <w:tmpl w:val="0F710A33"/>
    <w:lvl w:ilvl="0" w:tentative="0">
      <w:start w:val="1"/>
      <w:numFmt w:val="bullet"/>
      <w:pStyle w:val="26"/>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
    <w:nsid w:val="1C163663"/>
    <w:multiLevelType w:val="multilevel"/>
    <w:tmpl w:val="1C163663"/>
    <w:lvl w:ilvl="0" w:tentative="0">
      <w:start w:val="1"/>
      <w:numFmt w:val="decimal"/>
      <w:pStyle w:val="30"/>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
    <w:nsid w:val="54A6254B"/>
    <w:multiLevelType w:val="multilevel"/>
    <w:tmpl w:val="54A6254B"/>
    <w:lvl w:ilvl="0" w:tentative="0">
      <w:start w:val="1"/>
      <w:numFmt w:val="decimal"/>
      <w:pStyle w:val="40"/>
      <w:lvlText w:val="[%1]"/>
      <w:lvlJc w:val="left"/>
      <w:pPr>
        <w:ind w:left="720" w:hanging="360"/>
      </w:pPr>
      <w:rPr>
        <w:rFonts w:hint="default"/>
        <w:sz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76832F8"/>
    <w:multiLevelType w:val="multilevel"/>
    <w:tmpl w:val="776832F8"/>
    <w:lvl w:ilvl="0" w:tentative="0">
      <w:start w:val="1"/>
      <w:numFmt w:val="decimal"/>
      <w:pStyle w:val="24"/>
      <w:lvlText w:val="%1"/>
      <w:lvlJc w:val="left"/>
      <w:pPr>
        <w:ind w:left="357" w:hanging="357"/>
      </w:pPr>
      <w:rPr>
        <w:rFonts w:hint="default" w:ascii="Times New Roman" w:hAnsi="Times New Roman"/>
        <w:b/>
        <w:i w:val="0"/>
        <w:sz w:val="24"/>
      </w:rPr>
    </w:lvl>
    <w:lvl w:ilvl="1" w:tentative="0">
      <w:start w:val="1"/>
      <w:numFmt w:val="decimal"/>
      <w:pStyle w:val="28"/>
      <w:lvlText w:val="%1.%2"/>
      <w:lvlJc w:val="left"/>
      <w:pPr>
        <w:ind w:left="470" w:hanging="470"/>
      </w:pPr>
      <w:rPr>
        <w:rFonts w:hint="default"/>
      </w:rPr>
    </w:lvl>
    <w:lvl w:ilvl="2" w:tentative="0">
      <w:start w:val="1"/>
      <w:numFmt w:val="decimal"/>
      <w:pStyle w:val="36"/>
      <w:lvlText w:val="%1.%2.%3"/>
      <w:lvlJc w:val="left"/>
      <w:pPr>
        <w:ind w:left="583" w:hanging="583"/>
      </w:pPr>
      <w:rPr>
        <w:rFonts w:hint="default"/>
      </w:rPr>
    </w:lvl>
    <w:lvl w:ilvl="3" w:tentative="0">
      <w:start w:val="1"/>
      <w:numFmt w:val="decimal"/>
      <w:lvlText w:val="%4."/>
      <w:lvlJc w:val="left"/>
      <w:pPr>
        <w:ind w:left="696" w:hanging="357"/>
      </w:pPr>
      <w:rPr>
        <w:rFonts w:hint="default"/>
      </w:rPr>
    </w:lvl>
    <w:lvl w:ilvl="4" w:tentative="0">
      <w:start w:val="1"/>
      <w:numFmt w:val="lowerLetter"/>
      <w:lvlText w:val="%5."/>
      <w:lvlJc w:val="left"/>
      <w:pPr>
        <w:ind w:left="809" w:hanging="357"/>
      </w:pPr>
      <w:rPr>
        <w:rFonts w:hint="default"/>
      </w:rPr>
    </w:lvl>
    <w:lvl w:ilvl="5" w:tentative="0">
      <w:start w:val="1"/>
      <w:numFmt w:val="lowerRoman"/>
      <w:lvlText w:val="%6."/>
      <w:lvlJc w:val="right"/>
      <w:pPr>
        <w:ind w:left="922" w:hanging="357"/>
      </w:pPr>
      <w:rPr>
        <w:rFonts w:hint="default"/>
      </w:rPr>
    </w:lvl>
    <w:lvl w:ilvl="6" w:tentative="0">
      <w:start w:val="1"/>
      <w:numFmt w:val="decimal"/>
      <w:lvlText w:val="%7."/>
      <w:lvlJc w:val="left"/>
      <w:pPr>
        <w:ind w:left="1035" w:hanging="357"/>
      </w:pPr>
      <w:rPr>
        <w:rFonts w:hint="default"/>
      </w:rPr>
    </w:lvl>
    <w:lvl w:ilvl="7" w:tentative="0">
      <w:start w:val="1"/>
      <w:numFmt w:val="lowerLetter"/>
      <w:lvlText w:val="%8."/>
      <w:lvlJc w:val="left"/>
      <w:pPr>
        <w:ind w:left="1148" w:hanging="357"/>
      </w:pPr>
      <w:rPr>
        <w:rFonts w:hint="default"/>
      </w:rPr>
    </w:lvl>
    <w:lvl w:ilvl="8" w:tentative="0">
      <w:start w:val="1"/>
      <w:numFmt w:val="lowerRoman"/>
      <w:lvlText w:val="%9."/>
      <w:lvlJc w:val="right"/>
      <w:pPr>
        <w:ind w:left="1261" w:hanging="357"/>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2MrE0NLc0Mjc1NrdU0lEKTi0uzszPAykwrAUA/JTaCCwAAAA="/>
    <w:docVar w:name="commondata" w:val="eyJoZGlkIjoiN2YzNjBkOTgyNWQ1YTMxYzM3MzMwNWFiODNmOWIzYWMifQ=="/>
  </w:docVars>
  <w:rsids>
    <w:rsidRoot w:val="008E5A21"/>
    <w:rsid w:val="00007A60"/>
    <w:rsid w:val="0001026E"/>
    <w:rsid w:val="000300B2"/>
    <w:rsid w:val="00080FF7"/>
    <w:rsid w:val="00082680"/>
    <w:rsid w:val="000A7C6C"/>
    <w:rsid w:val="000C41A2"/>
    <w:rsid w:val="000E269B"/>
    <w:rsid w:val="000F2CBC"/>
    <w:rsid w:val="00102E77"/>
    <w:rsid w:val="00127A66"/>
    <w:rsid w:val="00141D67"/>
    <w:rsid w:val="00150D45"/>
    <w:rsid w:val="00192FBE"/>
    <w:rsid w:val="001B15E3"/>
    <w:rsid w:val="001D31CA"/>
    <w:rsid w:val="00205C7B"/>
    <w:rsid w:val="0021570C"/>
    <w:rsid w:val="00222870"/>
    <w:rsid w:val="00262609"/>
    <w:rsid w:val="002665BF"/>
    <w:rsid w:val="00295650"/>
    <w:rsid w:val="002B2140"/>
    <w:rsid w:val="002C7BD7"/>
    <w:rsid w:val="002D0BD6"/>
    <w:rsid w:val="002D4065"/>
    <w:rsid w:val="002D4CD2"/>
    <w:rsid w:val="002E006E"/>
    <w:rsid w:val="002E1D59"/>
    <w:rsid w:val="002E645B"/>
    <w:rsid w:val="0034516F"/>
    <w:rsid w:val="00362B6F"/>
    <w:rsid w:val="00384C6F"/>
    <w:rsid w:val="00390983"/>
    <w:rsid w:val="003B72AD"/>
    <w:rsid w:val="003B78CC"/>
    <w:rsid w:val="003D7648"/>
    <w:rsid w:val="003F4DBE"/>
    <w:rsid w:val="00405A76"/>
    <w:rsid w:val="00411884"/>
    <w:rsid w:val="00412B87"/>
    <w:rsid w:val="0046110F"/>
    <w:rsid w:val="004C1670"/>
    <w:rsid w:val="004D32B8"/>
    <w:rsid w:val="004F0C57"/>
    <w:rsid w:val="004F7DB5"/>
    <w:rsid w:val="00504F9E"/>
    <w:rsid w:val="00510905"/>
    <w:rsid w:val="0051369E"/>
    <w:rsid w:val="00514C32"/>
    <w:rsid w:val="00517015"/>
    <w:rsid w:val="00533753"/>
    <w:rsid w:val="00533894"/>
    <w:rsid w:val="005345CE"/>
    <w:rsid w:val="005362F8"/>
    <w:rsid w:val="0054381B"/>
    <w:rsid w:val="005456AF"/>
    <w:rsid w:val="00561EAF"/>
    <w:rsid w:val="005961BF"/>
    <w:rsid w:val="005A439F"/>
    <w:rsid w:val="005D37E7"/>
    <w:rsid w:val="00601B19"/>
    <w:rsid w:val="0060461D"/>
    <w:rsid w:val="006D15F5"/>
    <w:rsid w:val="006D30D7"/>
    <w:rsid w:val="006E2167"/>
    <w:rsid w:val="006F7416"/>
    <w:rsid w:val="00705E53"/>
    <w:rsid w:val="00737F50"/>
    <w:rsid w:val="00744929"/>
    <w:rsid w:val="007645CA"/>
    <w:rsid w:val="00765D43"/>
    <w:rsid w:val="00776D0D"/>
    <w:rsid w:val="007B4376"/>
    <w:rsid w:val="007D68E9"/>
    <w:rsid w:val="007E3387"/>
    <w:rsid w:val="007F252E"/>
    <w:rsid w:val="007F33E0"/>
    <w:rsid w:val="00800A94"/>
    <w:rsid w:val="00820AF8"/>
    <w:rsid w:val="00825DFF"/>
    <w:rsid w:val="00834455"/>
    <w:rsid w:val="00834FFE"/>
    <w:rsid w:val="008477BE"/>
    <w:rsid w:val="008D4E13"/>
    <w:rsid w:val="008E5A21"/>
    <w:rsid w:val="008F1CB1"/>
    <w:rsid w:val="0091738A"/>
    <w:rsid w:val="00940676"/>
    <w:rsid w:val="009439A4"/>
    <w:rsid w:val="00957CCA"/>
    <w:rsid w:val="00984C57"/>
    <w:rsid w:val="00986098"/>
    <w:rsid w:val="009E22CB"/>
    <w:rsid w:val="009F0FF3"/>
    <w:rsid w:val="00A0169B"/>
    <w:rsid w:val="00A17838"/>
    <w:rsid w:val="00A276BF"/>
    <w:rsid w:val="00A4165D"/>
    <w:rsid w:val="00A43B50"/>
    <w:rsid w:val="00A47BF7"/>
    <w:rsid w:val="00A56E03"/>
    <w:rsid w:val="00A577F3"/>
    <w:rsid w:val="00A646A7"/>
    <w:rsid w:val="00A74333"/>
    <w:rsid w:val="00AB2F68"/>
    <w:rsid w:val="00AB4ED3"/>
    <w:rsid w:val="00AB6769"/>
    <w:rsid w:val="00AC4D4D"/>
    <w:rsid w:val="00AD61B3"/>
    <w:rsid w:val="00AE2A71"/>
    <w:rsid w:val="00AE4708"/>
    <w:rsid w:val="00AE6316"/>
    <w:rsid w:val="00B0714C"/>
    <w:rsid w:val="00B201E2"/>
    <w:rsid w:val="00B248C3"/>
    <w:rsid w:val="00B35ADA"/>
    <w:rsid w:val="00B70AFA"/>
    <w:rsid w:val="00BB6A4A"/>
    <w:rsid w:val="00BF3148"/>
    <w:rsid w:val="00C6206F"/>
    <w:rsid w:val="00C6226E"/>
    <w:rsid w:val="00C74F61"/>
    <w:rsid w:val="00C774EA"/>
    <w:rsid w:val="00C8601D"/>
    <w:rsid w:val="00C92D6F"/>
    <w:rsid w:val="00CB262E"/>
    <w:rsid w:val="00CC0011"/>
    <w:rsid w:val="00CD2792"/>
    <w:rsid w:val="00CF1C40"/>
    <w:rsid w:val="00D07424"/>
    <w:rsid w:val="00D11466"/>
    <w:rsid w:val="00D15F7E"/>
    <w:rsid w:val="00D16EA2"/>
    <w:rsid w:val="00D17A5E"/>
    <w:rsid w:val="00D31B70"/>
    <w:rsid w:val="00D453DF"/>
    <w:rsid w:val="00D546A9"/>
    <w:rsid w:val="00D572A1"/>
    <w:rsid w:val="00D60FE6"/>
    <w:rsid w:val="00D7466D"/>
    <w:rsid w:val="00D92E3F"/>
    <w:rsid w:val="00D95455"/>
    <w:rsid w:val="00DA3722"/>
    <w:rsid w:val="00DB2105"/>
    <w:rsid w:val="00DC5FA9"/>
    <w:rsid w:val="00DE58AF"/>
    <w:rsid w:val="00DE6B11"/>
    <w:rsid w:val="00DE7103"/>
    <w:rsid w:val="00DF5AA3"/>
    <w:rsid w:val="00E20FA8"/>
    <w:rsid w:val="00E75078"/>
    <w:rsid w:val="00EB0C81"/>
    <w:rsid w:val="00ED46B0"/>
    <w:rsid w:val="00ED52D7"/>
    <w:rsid w:val="00EF6713"/>
    <w:rsid w:val="00F447E9"/>
    <w:rsid w:val="00F4554A"/>
    <w:rsid w:val="00F5194C"/>
    <w:rsid w:val="00F5370A"/>
    <w:rsid w:val="00F6432D"/>
    <w:rsid w:val="00F648A8"/>
    <w:rsid w:val="00F93AB0"/>
    <w:rsid w:val="00F941B8"/>
    <w:rsid w:val="00FD3FD9"/>
    <w:rsid w:val="00FD6960"/>
    <w:rsid w:val="00FD6C16"/>
    <w:rsid w:val="00FE6BE4"/>
    <w:rsid w:val="236D1D60"/>
    <w:rsid w:val="44A402B8"/>
  </w:rsids>
  <m:mathPr>
    <m:mathFont m:val="Cambria Math"/>
    <m:brkBin m:val="before"/>
    <m:brkBinSub m:val="--"/>
    <m:smallFrac m:val="0"/>
    <m:dispDef/>
    <m:lMargin m:val="0"/>
    <m:rMargin m:val="0"/>
    <m:defJc m:val="centerGroup"/>
    <m:wrapIndent m:val="1440"/>
    <m:intLim m:val="subSup"/>
    <m:naryLim m:val="undOvr"/>
  </m:mathPr>
  <w:doNotAutoCompressPictures/>
  <w:themeFontLang w:val="en-I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IE" w:eastAsia="en-US"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link w:val="44"/>
    <w:unhideWhenUsed/>
    <w:qFormat/>
    <w:uiPriority w:val="35"/>
    <w:pPr>
      <w:spacing w:line="240" w:lineRule="auto"/>
    </w:pPr>
    <w:rPr>
      <w:rFonts w:ascii="Times New Roman" w:hAnsi="Times New Roman" w:cs="Times New Roman"/>
      <w:bCs/>
      <w:sz w:val="18"/>
      <w:szCs w:val="18"/>
    </w:rPr>
  </w:style>
  <w:style w:type="paragraph" w:styleId="3">
    <w:name w:val="annotation text"/>
    <w:basedOn w:val="1"/>
    <w:link w:val="46"/>
    <w:semiHidden/>
    <w:unhideWhenUsed/>
    <w:uiPriority w:val="99"/>
    <w:pPr>
      <w:spacing w:line="240" w:lineRule="auto"/>
    </w:pPr>
    <w:rPr>
      <w:sz w:val="24"/>
      <w:szCs w:val="24"/>
    </w:rPr>
  </w:style>
  <w:style w:type="paragraph" w:styleId="4">
    <w:name w:val="Balloon Text"/>
    <w:basedOn w:val="1"/>
    <w:link w:val="34"/>
    <w:semiHidden/>
    <w:unhideWhenUsed/>
    <w:uiPriority w:val="99"/>
    <w:pPr>
      <w:spacing w:after="0" w:line="240" w:lineRule="auto"/>
    </w:pPr>
    <w:rPr>
      <w:rFonts w:ascii="Tahoma" w:hAnsi="Tahoma" w:cs="Tahoma"/>
      <w:sz w:val="16"/>
      <w:szCs w:val="16"/>
    </w:rPr>
  </w:style>
  <w:style w:type="paragraph" w:styleId="5">
    <w:name w:val="footer"/>
    <w:basedOn w:val="1"/>
    <w:link w:val="49"/>
    <w:unhideWhenUsed/>
    <w:qFormat/>
    <w:uiPriority w:val="99"/>
    <w:pPr>
      <w:tabs>
        <w:tab w:val="center" w:pos="4513"/>
        <w:tab w:val="right" w:pos="9026"/>
      </w:tabs>
      <w:spacing w:after="0" w:line="240" w:lineRule="auto"/>
    </w:pPr>
  </w:style>
  <w:style w:type="paragraph" w:styleId="6">
    <w:name w:val="header"/>
    <w:basedOn w:val="1"/>
    <w:link w:val="48"/>
    <w:unhideWhenUsed/>
    <w:qFormat/>
    <w:uiPriority w:val="99"/>
    <w:pPr>
      <w:tabs>
        <w:tab w:val="center" w:pos="4513"/>
        <w:tab w:val="right" w:pos="9026"/>
      </w:tabs>
      <w:spacing w:after="0" w:line="240" w:lineRule="auto"/>
    </w:pPr>
  </w:style>
  <w:style w:type="paragraph" w:styleId="7">
    <w:name w:val="annotation subject"/>
    <w:basedOn w:val="3"/>
    <w:next w:val="3"/>
    <w:link w:val="47"/>
    <w:semiHidden/>
    <w:unhideWhenUsed/>
    <w:uiPriority w:val="99"/>
    <w:rPr>
      <w:b/>
      <w:bCs/>
      <w:sz w:val="20"/>
      <w:szCs w:val="20"/>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18"/>
      <w:szCs w:val="18"/>
    </w:rPr>
  </w:style>
  <w:style w:type="paragraph" w:customStyle="1" w:styleId="14">
    <w:name w:val="EIT2017:Title"/>
    <w:basedOn w:val="1"/>
    <w:link w:val="16"/>
    <w:qFormat/>
    <w:uiPriority w:val="0"/>
    <w:pPr>
      <w:spacing w:after="140"/>
      <w:jc w:val="center"/>
    </w:pPr>
    <w:rPr>
      <w:rFonts w:ascii="Times New Roman" w:hAnsi="Times New Roman" w:cs="Times New Roman"/>
      <w:sz w:val="34"/>
      <w:szCs w:val="34"/>
      <w:lang w:val="en-GB"/>
    </w:rPr>
  </w:style>
  <w:style w:type="paragraph" w:customStyle="1" w:styleId="15">
    <w:name w:val="EIT2017:Author"/>
    <w:basedOn w:val="1"/>
    <w:link w:val="18"/>
    <w:qFormat/>
    <w:uiPriority w:val="0"/>
    <w:pPr>
      <w:spacing w:after="80" w:line="240" w:lineRule="auto"/>
      <w:jc w:val="center"/>
    </w:pPr>
    <w:rPr>
      <w:rFonts w:ascii="Times New Roman" w:hAnsi="Times New Roman"/>
      <w:sz w:val="24"/>
      <w:szCs w:val="24"/>
      <w:lang w:val="en-GB"/>
    </w:rPr>
  </w:style>
  <w:style w:type="character" w:customStyle="1" w:styleId="16">
    <w:name w:val="EIT2017:Title Char"/>
    <w:basedOn w:val="10"/>
    <w:link w:val="14"/>
    <w:uiPriority w:val="0"/>
    <w:rPr>
      <w:rFonts w:ascii="Times New Roman" w:hAnsi="Times New Roman" w:cs="Times New Roman"/>
      <w:sz w:val="34"/>
      <w:szCs w:val="34"/>
      <w:lang w:val="en-GB"/>
    </w:rPr>
  </w:style>
  <w:style w:type="paragraph" w:customStyle="1" w:styleId="17">
    <w:name w:val="EIT2017:Affiliation"/>
    <w:basedOn w:val="1"/>
    <w:link w:val="20"/>
    <w:qFormat/>
    <w:uiPriority w:val="0"/>
    <w:pPr>
      <w:spacing w:after="0" w:line="264" w:lineRule="auto"/>
      <w:jc w:val="center"/>
    </w:pPr>
    <w:rPr>
      <w:rFonts w:ascii="Times New Roman" w:hAnsi="Times New Roman"/>
      <w:sz w:val="18"/>
      <w:szCs w:val="18"/>
      <w:lang w:val="en-GB"/>
    </w:rPr>
  </w:style>
  <w:style w:type="character" w:customStyle="1" w:styleId="18">
    <w:name w:val="EIT2017:Author Char"/>
    <w:basedOn w:val="10"/>
    <w:link w:val="15"/>
    <w:uiPriority w:val="0"/>
    <w:rPr>
      <w:rFonts w:ascii="Times New Roman" w:hAnsi="Times New Roman"/>
      <w:sz w:val="24"/>
      <w:szCs w:val="24"/>
      <w:lang w:val="en-GB"/>
    </w:rPr>
  </w:style>
  <w:style w:type="character" w:customStyle="1" w:styleId="19">
    <w:name w:val="EIT2014:URL"/>
    <w:basedOn w:val="10"/>
    <w:qFormat/>
    <w:uiPriority w:val="1"/>
    <w:rPr>
      <w:rFonts w:ascii="Courier New" w:hAnsi="Courier New" w:cs="Courier New"/>
    </w:rPr>
  </w:style>
  <w:style w:type="character" w:customStyle="1" w:styleId="20">
    <w:name w:val="EIT2017:Affiliation Char"/>
    <w:basedOn w:val="10"/>
    <w:link w:val="17"/>
    <w:uiPriority w:val="0"/>
    <w:rPr>
      <w:rFonts w:ascii="Times New Roman" w:hAnsi="Times New Roman"/>
      <w:sz w:val="18"/>
      <w:szCs w:val="18"/>
      <w:lang w:val="en-GB"/>
    </w:rPr>
  </w:style>
  <w:style w:type="paragraph" w:customStyle="1" w:styleId="21">
    <w:name w:val="EIT2017:FurtherParagraph"/>
    <w:basedOn w:val="1"/>
    <w:link w:val="23"/>
    <w:qFormat/>
    <w:uiPriority w:val="0"/>
    <w:pPr>
      <w:spacing w:after="0" w:line="240" w:lineRule="auto"/>
      <w:ind w:firstLine="284"/>
      <w:jc w:val="both"/>
    </w:pPr>
    <w:rPr>
      <w:rFonts w:ascii="Times New Roman" w:hAnsi="Times New Roman"/>
      <w:sz w:val="20"/>
      <w:szCs w:val="20"/>
    </w:rPr>
  </w:style>
  <w:style w:type="paragraph" w:customStyle="1" w:styleId="22">
    <w:name w:val="EIT2017:FirstParagraph"/>
    <w:basedOn w:val="1"/>
    <w:next w:val="21"/>
    <w:link w:val="25"/>
    <w:qFormat/>
    <w:uiPriority w:val="0"/>
    <w:pPr>
      <w:spacing w:after="0" w:line="240" w:lineRule="auto"/>
      <w:jc w:val="both"/>
    </w:pPr>
    <w:rPr>
      <w:rFonts w:ascii="Times New Roman" w:hAnsi="Times New Roman"/>
      <w:sz w:val="20"/>
      <w:szCs w:val="20"/>
    </w:rPr>
  </w:style>
  <w:style w:type="character" w:customStyle="1" w:styleId="23">
    <w:name w:val="EIT2017:FurtherParagraph Char"/>
    <w:basedOn w:val="10"/>
    <w:link w:val="21"/>
    <w:uiPriority w:val="0"/>
    <w:rPr>
      <w:rFonts w:ascii="Times New Roman" w:hAnsi="Times New Roman"/>
      <w:sz w:val="20"/>
      <w:szCs w:val="20"/>
    </w:rPr>
  </w:style>
  <w:style w:type="paragraph" w:customStyle="1" w:styleId="24">
    <w:name w:val="EIT2017:Heading:Section"/>
    <w:basedOn w:val="1"/>
    <w:next w:val="22"/>
    <w:link w:val="27"/>
    <w:qFormat/>
    <w:uiPriority w:val="0"/>
    <w:pPr>
      <w:numPr>
        <w:ilvl w:val="0"/>
        <w:numId w:val="1"/>
      </w:numPr>
      <w:spacing w:before="120" w:after="120"/>
      <w:outlineLvl w:val="0"/>
    </w:pPr>
    <w:rPr>
      <w:rFonts w:ascii="Times New Roman" w:hAnsi="Times New Roman"/>
      <w:b/>
      <w:sz w:val="24"/>
      <w:szCs w:val="24"/>
    </w:rPr>
  </w:style>
  <w:style w:type="character" w:customStyle="1" w:styleId="25">
    <w:name w:val="EIT2017:FirstParagraph Char"/>
    <w:basedOn w:val="10"/>
    <w:link w:val="22"/>
    <w:uiPriority w:val="0"/>
    <w:rPr>
      <w:rFonts w:ascii="Times New Roman" w:hAnsi="Times New Roman"/>
      <w:sz w:val="20"/>
      <w:szCs w:val="20"/>
    </w:rPr>
  </w:style>
  <w:style w:type="paragraph" w:customStyle="1" w:styleId="26">
    <w:name w:val="EIT2017:Bullets"/>
    <w:basedOn w:val="21"/>
    <w:link w:val="29"/>
    <w:qFormat/>
    <w:uiPriority w:val="0"/>
    <w:pPr>
      <w:numPr>
        <w:ilvl w:val="0"/>
        <w:numId w:val="2"/>
      </w:numPr>
      <w:ind w:left="567" w:hanging="283"/>
    </w:pPr>
  </w:style>
  <w:style w:type="character" w:customStyle="1" w:styleId="27">
    <w:name w:val="EIT2017:Heading:Section Char"/>
    <w:basedOn w:val="10"/>
    <w:link w:val="24"/>
    <w:uiPriority w:val="0"/>
    <w:rPr>
      <w:rFonts w:ascii="Times New Roman" w:hAnsi="Times New Roman"/>
      <w:b/>
      <w:sz w:val="24"/>
      <w:szCs w:val="24"/>
    </w:rPr>
  </w:style>
  <w:style w:type="paragraph" w:customStyle="1" w:styleId="28">
    <w:name w:val="EIT2017:Heading:Subsection"/>
    <w:basedOn w:val="24"/>
    <w:next w:val="22"/>
    <w:link w:val="31"/>
    <w:qFormat/>
    <w:uiPriority w:val="0"/>
    <w:pPr>
      <w:numPr>
        <w:ilvl w:val="1"/>
      </w:numPr>
    </w:pPr>
    <w:rPr>
      <w:sz w:val="20"/>
      <w:szCs w:val="20"/>
    </w:rPr>
  </w:style>
  <w:style w:type="character" w:customStyle="1" w:styleId="29">
    <w:name w:val="EIT2017:Bullets Char"/>
    <w:basedOn w:val="23"/>
    <w:link w:val="26"/>
    <w:uiPriority w:val="0"/>
    <w:rPr>
      <w:rFonts w:ascii="Times New Roman" w:hAnsi="Times New Roman"/>
      <w:sz w:val="20"/>
      <w:szCs w:val="20"/>
    </w:rPr>
  </w:style>
  <w:style w:type="paragraph" w:customStyle="1" w:styleId="30">
    <w:name w:val="EIT2017:Enumerate"/>
    <w:basedOn w:val="21"/>
    <w:link w:val="33"/>
    <w:qFormat/>
    <w:uiPriority w:val="0"/>
    <w:pPr>
      <w:numPr>
        <w:ilvl w:val="0"/>
        <w:numId w:val="3"/>
      </w:numPr>
      <w:ind w:left="567" w:hanging="283"/>
    </w:pPr>
  </w:style>
  <w:style w:type="character" w:customStyle="1" w:styleId="31">
    <w:name w:val="EIT2017:Heading:Subsection Char"/>
    <w:basedOn w:val="27"/>
    <w:link w:val="28"/>
    <w:uiPriority w:val="0"/>
    <w:rPr>
      <w:rFonts w:ascii="Times New Roman" w:hAnsi="Times New Roman"/>
      <w:sz w:val="20"/>
      <w:szCs w:val="20"/>
    </w:rPr>
  </w:style>
  <w:style w:type="character" w:styleId="32">
    <w:name w:val="Placeholder Text"/>
    <w:basedOn w:val="10"/>
    <w:semiHidden/>
    <w:uiPriority w:val="99"/>
    <w:rPr>
      <w:color w:val="808080"/>
    </w:rPr>
  </w:style>
  <w:style w:type="character" w:customStyle="1" w:styleId="33">
    <w:name w:val="EIT2017:Enumerate Char"/>
    <w:basedOn w:val="23"/>
    <w:link w:val="30"/>
    <w:uiPriority w:val="0"/>
    <w:rPr>
      <w:rFonts w:ascii="Times New Roman" w:hAnsi="Times New Roman"/>
      <w:sz w:val="20"/>
      <w:szCs w:val="20"/>
    </w:rPr>
  </w:style>
  <w:style w:type="character" w:customStyle="1" w:styleId="34">
    <w:name w:val="批注框文本 字符"/>
    <w:basedOn w:val="10"/>
    <w:link w:val="4"/>
    <w:semiHidden/>
    <w:uiPriority w:val="99"/>
    <w:rPr>
      <w:rFonts w:ascii="Tahoma" w:hAnsi="Tahoma" w:cs="Tahoma"/>
      <w:sz w:val="16"/>
      <w:szCs w:val="16"/>
    </w:rPr>
  </w:style>
  <w:style w:type="paragraph" w:customStyle="1" w:styleId="35">
    <w:name w:val="EIT2017:Equation"/>
    <w:basedOn w:val="22"/>
    <w:next w:val="22"/>
    <w:link w:val="37"/>
    <w:qFormat/>
    <w:uiPriority w:val="0"/>
    <w:pPr>
      <w:tabs>
        <w:tab w:val="center" w:pos="2410"/>
        <w:tab w:val="right" w:pos="4706"/>
      </w:tabs>
      <w:spacing w:after="120"/>
    </w:pPr>
    <w:rPr>
      <w:rFonts w:eastAsiaTheme="minorEastAsia"/>
    </w:rPr>
  </w:style>
  <w:style w:type="paragraph" w:customStyle="1" w:styleId="36">
    <w:name w:val="EIT2017:Heading:Subsubsection"/>
    <w:basedOn w:val="28"/>
    <w:next w:val="22"/>
    <w:link w:val="39"/>
    <w:qFormat/>
    <w:uiPriority w:val="0"/>
    <w:pPr>
      <w:numPr>
        <w:ilvl w:val="2"/>
      </w:numPr>
    </w:pPr>
  </w:style>
  <w:style w:type="character" w:customStyle="1" w:styleId="37">
    <w:name w:val="EIT2017:Equation Char"/>
    <w:basedOn w:val="25"/>
    <w:link w:val="35"/>
    <w:uiPriority w:val="0"/>
    <w:rPr>
      <w:rFonts w:ascii="Times New Roman" w:hAnsi="Times New Roman" w:eastAsiaTheme="minorEastAsia"/>
      <w:sz w:val="20"/>
      <w:szCs w:val="20"/>
    </w:rPr>
  </w:style>
  <w:style w:type="paragraph" w:customStyle="1" w:styleId="38">
    <w:name w:val="EIT2017:Heading:References"/>
    <w:basedOn w:val="24"/>
    <w:link w:val="41"/>
    <w:qFormat/>
    <w:uiPriority w:val="0"/>
    <w:pPr>
      <w:numPr>
        <w:ilvl w:val="0"/>
        <w:numId w:val="0"/>
      </w:numPr>
      <w:ind w:left="357" w:hanging="357"/>
    </w:pPr>
  </w:style>
  <w:style w:type="character" w:customStyle="1" w:styleId="39">
    <w:name w:val="EIT2017:Heading:Subsubsection Char"/>
    <w:basedOn w:val="31"/>
    <w:link w:val="36"/>
    <w:uiPriority w:val="0"/>
    <w:rPr>
      <w:rFonts w:ascii="Times New Roman" w:hAnsi="Times New Roman"/>
      <w:sz w:val="20"/>
      <w:szCs w:val="20"/>
    </w:rPr>
  </w:style>
  <w:style w:type="paragraph" w:customStyle="1" w:styleId="40">
    <w:name w:val="EIT2017:References"/>
    <w:basedOn w:val="1"/>
    <w:link w:val="42"/>
    <w:qFormat/>
    <w:uiPriority w:val="0"/>
    <w:pPr>
      <w:numPr>
        <w:ilvl w:val="0"/>
        <w:numId w:val="4"/>
      </w:numPr>
      <w:spacing w:after="0" w:line="240" w:lineRule="auto"/>
      <w:ind w:left="284" w:hanging="284"/>
    </w:pPr>
    <w:rPr>
      <w:rFonts w:ascii="Times New Roman" w:hAnsi="Times New Roman"/>
      <w:sz w:val="16"/>
      <w:szCs w:val="16"/>
    </w:rPr>
  </w:style>
  <w:style w:type="character" w:customStyle="1" w:styleId="41">
    <w:name w:val="EIT2017:Heading:References Char"/>
    <w:basedOn w:val="27"/>
    <w:link w:val="38"/>
    <w:uiPriority w:val="0"/>
    <w:rPr>
      <w:rFonts w:ascii="Times New Roman" w:hAnsi="Times New Roman"/>
      <w:sz w:val="24"/>
      <w:szCs w:val="24"/>
    </w:rPr>
  </w:style>
  <w:style w:type="character" w:customStyle="1" w:styleId="42">
    <w:name w:val="EIT2017:References Char"/>
    <w:basedOn w:val="10"/>
    <w:link w:val="40"/>
    <w:uiPriority w:val="0"/>
    <w:rPr>
      <w:rFonts w:ascii="Times New Roman" w:hAnsi="Times New Roman"/>
      <w:sz w:val="16"/>
      <w:szCs w:val="16"/>
    </w:rPr>
  </w:style>
  <w:style w:type="paragraph" w:customStyle="1" w:styleId="43">
    <w:name w:val="EIT2017:TableCaption"/>
    <w:basedOn w:val="2"/>
    <w:link w:val="45"/>
    <w:qFormat/>
    <w:uiPriority w:val="0"/>
    <w:pPr>
      <w:spacing w:before="200" w:after="40"/>
    </w:pPr>
  </w:style>
  <w:style w:type="character" w:customStyle="1" w:styleId="44">
    <w:name w:val="题注 字符"/>
    <w:basedOn w:val="10"/>
    <w:link w:val="2"/>
    <w:qFormat/>
    <w:uiPriority w:val="35"/>
    <w:rPr>
      <w:rFonts w:ascii="Times New Roman" w:hAnsi="Times New Roman" w:cs="Times New Roman"/>
      <w:bCs/>
      <w:sz w:val="18"/>
      <w:szCs w:val="18"/>
    </w:rPr>
  </w:style>
  <w:style w:type="character" w:customStyle="1" w:styleId="45">
    <w:name w:val="EIT2017:TableCaption Char"/>
    <w:basedOn w:val="44"/>
    <w:link w:val="43"/>
    <w:qFormat/>
    <w:uiPriority w:val="0"/>
    <w:rPr>
      <w:rFonts w:ascii="Times New Roman" w:hAnsi="Times New Roman" w:cs="Times New Roman"/>
      <w:sz w:val="18"/>
      <w:szCs w:val="18"/>
    </w:rPr>
  </w:style>
  <w:style w:type="character" w:customStyle="1" w:styleId="46">
    <w:name w:val="批注文字 字符"/>
    <w:basedOn w:val="10"/>
    <w:link w:val="3"/>
    <w:semiHidden/>
    <w:qFormat/>
    <w:uiPriority w:val="99"/>
    <w:rPr>
      <w:sz w:val="24"/>
      <w:szCs w:val="24"/>
    </w:rPr>
  </w:style>
  <w:style w:type="character" w:customStyle="1" w:styleId="47">
    <w:name w:val="批注主题 字符"/>
    <w:basedOn w:val="46"/>
    <w:link w:val="7"/>
    <w:semiHidden/>
    <w:qFormat/>
    <w:uiPriority w:val="99"/>
    <w:rPr>
      <w:b/>
      <w:bCs/>
      <w:sz w:val="20"/>
      <w:szCs w:val="20"/>
    </w:rPr>
  </w:style>
  <w:style w:type="character" w:customStyle="1" w:styleId="48">
    <w:name w:val="页眉 字符"/>
    <w:basedOn w:val="10"/>
    <w:link w:val="6"/>
    <w:uiPriority w:val="99"/>
  </w:style>
  <w:style w:type="character" w:customStyle="1" w:styleId="49">
    <w:name w:val="页脚 字符"/>
    <w:basedOn w:val="10"/>
    <w:link w:val="5"/>
    <w:qFormat/>
    <w:uiPriority w:val="99"/>
  </w:style>
  <w:style w:type="character" w:customStyle="1" w:styleId="50">
    <w:name w:val="Unresolved Mention1"/>
    <w:basedOn w:val="10"/>
    <w:semiHidden/>
    <w:unhideWhenUsed/>
    <w:qFormat/>
    <w:uiPriority w:val="99"/>
    <w:rPr>
      <w:color w:val="605E5C"/>
      <w:shd w:val="clear" w:color="auto" w:fill="E1DFDD"/>
    </w:rPr>
  </w:style>
  <w:style w:type="character" w:customStyle="1" w:styleId="5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35F2-85D8-4309-9E7B-CBBB5532FF21}">
  <ds:schemaRefs/>
</ds:datastoreItem>
</file>

<file path=docProps/app.xml><?xml version="1.0" encoding="utf-8"?>
<Properties xmlns="http://schemas.openxmlformats.org/officeDocument/2006/extended-properties" xmlns:vt="http://schemas.openxmlformats.org/officeDocument/2006/docPropsVTypes">
  <Template>Normal.dotm</Template>
  <Company>CSEM S.A.</Company>
  <Pages>1</Pages>
  <Words>541</Words>
  <Characters>3088</Characters>
  <Lines>25</Lines>
  <Paragraphs>7</Paragraphs>
  <TotalTime>15</TotalTime>
  <ScaleCrop>false</ScaleCrop>
  <LinksUpToDate>false</LinksUpToDate>
  <CharactersWithSpaces>3622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2017-09-26T12:30:00Z</dcterms:created>
  <dc:creator>Ryan J. Halter</dc:creator>
  <cp:lastModifiedBy>Administrator</cp:lastModifiedBy>
  <cp:lastPrinted>2017-09-27T08:14:00Z</cp:lastPrinted>
  <dcterms:modified xsi:type="dcterms:W3CDTF">2023-10-18T02:25:21Z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D8F6EA3C6ADB4E2FA5E550B3841E926C_12</vt:lpwstr>
  </property>
</Properties>
</file>